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0DC70" w14:textId="77777777" w:rsidR="00C415F9" w:rsidRPr="00EE2F67" w:rsidRDefault="00550F23">
      <w:pPr>
        <w:rPr>
          <w:rFonts w:asciiTheme="majorHAnsi" w:hAnsiTheme="majorHAnsi" w:cstheme="majorHAnsi"/>
        </w:rPr>
      </w:pPr>
    </w:p>
    <w:p w14:paraId="67E5C06D" w14:textId="77777777" w:rsidR="002038CB" w:rsidRPr="00EE2F67" w:rsidRDefault="002038CB" w:rsidP="002038CB">
      <w:pPr>
        <w:rPr>
          <w:rFonts w:asciiTheme="majorHAnsi" w:hAnsiTheme="majorHAnsi" w:cstheme="majorHAnsi"/>
        </w:rPr>
      </w:pPr>
    </w:p>
    <w:p w14:paraId="74140CA8" w14:textId="77777777" w:rsidR="00EE2F67" w:rsidRPr="00EE2F67" w:rsidRDefault="00EE2F67" w:rsidP="00EE2F67">
      <w:pPr>
        <w:jc w:val="center"/>
        <w:rPr>
          <w:rFonts w:asciiTheme="majorHAnsi" w:hAnsiTheme="majorHAnsi" w:cstheme="majorHAnsi"/>
          <w:b/>
        </w:rPr>
      </w:pPr>
      <w:r w:rsidRPr="00EE2F67">
        <w:rPr>
          <w:rFonts w:asciiTheme="majorHAnsi" w:hAnsiTheme="majorHAnsi" w:cstheme="majorHAnsi"/>
          <w:b/>
        </w:rPr>
        <w:t>Clinical Education Terminology</w:t>
      </w:r>
    </w:p>
    <w:p w14:paraId="40367AEC" w14:textId="77777777" w:rsidR="00EE2F67" w:rsidRDefault="00EE2F67" w:rsidP="00EE2F67">
      <w:pPr>
        <w:rPr>
          <w:rFonts w:asciiTheme="majorHAnsi" w:hAnsiTheme="majorHAnsi" w:cstheme="majorHAnsi"/>
        </w:rPr>
      </w:pPr>
    </w:p>
    <w:p w14:paraId="05168D2D" w14:textId="77777777" w:rsidR="00EE2F67" w:rsidRPr="00EE2F67" w:rsidRDefault="00EE2F67" w:rsidP="00EE2F67">
      <w:pPr>
        <w:rPr>
          <w:rFonts w:asciiTheme="majorHAnsi" w:hAnsiTheme="majorHAnsi" w:cstheme="majorHAnsi"/>
        </w:rPr>
      </w:pPr>
      <w:r w:rsidRPr="00EE2F67">
        <w:rPr>
          <w:rFonts w:asciiTheme="majorHAnsi" w:hAnsiTheme="majorHAnsi" w:cstheme="majorHAnsi"/>
        </w:rPr>
        <w:t>On October 13, 2017, the members of ACAPT approved and adopted a new Physical Therapist Clinical Education Glossary.</w:t>
      </w:r>
    </w:p>
    <w:p w14:paraId="4D3297DE" w14:textId="77777777" w:rsidR="00EE2F67" w:rsidRDefault="00EE2F67" w:rsidP="00EE2F67">
      <w:pPr>
        <w:rPr>
          <w:rFonts w:asciiTheme="majorHAnsi" w:hAnsiTheme="majorHAnsi" w:cstheme="majorHAnsi"/>
          <w:b/>
        </w:rPr>
      </w:pPr>
    </w:p>
    <w:p w14:paraId="28F8F30C" w14:textId="77777777" w:rsidR="00EE2F67" w:rsidRPr="00EE2F67" w:rsidRDefault="00EE2F67" w:rsidP="00EE2F67">
      <w:pPr>
        <w:rPr>
          <w:rFonts w:asciiTheme="majorHAnsi" w:hAnsiTheme="majorHAnsi" w:cstheme="majorHAnsi"/>
          <w:b/>
        </w:rPr>
      </w:pPr>
      <w:r w:rsidRPr="00EE2F67">
        <w:rPr>
          <w:rFonts w:asciiTheme="majorHAnsi" w:hAnsiTheme="majorHAnsi" w:cstheme="majorHAnsi"/>
          <w:b/>
        </w:rPr>
        <w:t>Why is this important?</w:t>
      </w:r>
    </w:p>
    <w:p w14:paraId="7190CD34" w14:textId="77777777" w:rsidR="00EE2F67" w:rsidRPr="00EE2F67" w:rsidRDefault="00EE2F67" w:rsidP="00EE2F67">
      <w:pPr>
        <w:rPr>
          <w:rFonts w:asciiTheme="majorHAnsi" w:hAnsiTheme="majorHAnsi" w:cstheme="majorHAnsi"/>
        </w:rPr>
      </w:pPr>
      <w:r w:rsidRPr="00EE2F67">
        <w:rPr>
          <w:rFonts w:asciiTheme="majorHAnsi" w:hAnsiTheme="majorHAnsi" w:cstheme="majorHAnsi"/>
        </w:rPr>
        <w:t xml:space="preserve">The use of standard terminology and definitions for physical therapy clinical education is essential for effective communication between stakeholders—including academic faculty and institutions, clinical facilities, and physical therapist students—and efficient education practice. </w:t>
      </w:r>
    </w:p>
    <w:p w14:paraId="5B1D266C" w14:textId="77777777" w:rsidR="00EE2F67" w:rsidRDefault="00EE2F67" w:rsidP="00EE2F67">
      <w:pPr>
        <w:rPr>
          <w:rFonts w:asciiTheme="majorHAnsi" w:hAnsiTheme="majorHAnsi" w:cstheme="majorHAnsi"/>
          <w:b/>
        </w:rPr>
      </w:pPr>
    </w:p>
    <w:p w14:paraId="0857D1AF" w14:textId="77777777" w:rsidR="00EE2F67" w:rsidRPr="00EE2F67" w:rsidRDefault="00EE2F67" w:rsidP="00EE2F67">
      <w:pPr>
        <w:rPr>
          <w:rFonts w:asciiTheme="majorHAnsi" w:hAnsiTheme="majorHAnsi" w:cstheme="majorHAnsi"/>
          <w:b/>
        </w:rPr>
      </w:pPr>
      <w:r w:rsidRPr="00EE2F67">
        <w:rPr>
          <w:rFonts w:asciiTheme="majorHAnsi" w:hAnsiTheme="majorHAnsi" w:cstheme="majorHAnsi"/>
          <w:b/>
        </w:rPr>
        <w:t>How was the Physical Therapist Terminology Glossary developed?</w:t>
      </w:r>
    </w:p>
    <w:p w14:paraId="2C13CEE3" w14:textId="77777777" w:rsidR="00EE2F67" w:rsidRPr="00EE2F67" w:rsidRDefault="00EE2F67" w:rsidP="00EE2F67">
      <w:pPr>
        <w:rPr>
          <w:rFonts w:asciiTheme="majorHAnsi" w:hAnsiTheme="majorHAnsi" w:cstheme="majorHAnsi"/>
        </w:rPr>
      </w:pPr>
      <w:r w:rsidRPr="00EE2F67">
        <w:rPr>
          <w:rFonts w:asciiTheme="majorHAnsi" w:hAnsiTheme="majorHAnsi" w:cstheme="majorHAnsi"/>
        </w:rPr>
        <w:t>This new glossary of terms was “developed after a review of the physical therapy literature, extensive discussion and debate by the ACAPT Common Terminology Panel, and engagement of key stakeholders within the physical therapy clinical education community.”</w:t>
      </w:r>
    </w:p>
    <w:p w14:paraId="0EF4A9AB" w14:textId="77777777" w:rsidR="00EE2F67" w:rsidRDefault="00EE2F67" w:rsidP="00EE2F67">
      <w:pPr>
        <w:rPr>
          <w:rFonts w:asciiTheme="majorHAnsi" w:hAnsiTheme="majorHAnsi" w:cstheme="majorHAnsi"/>
          <w:b/>
        </w:rPr>
      </w:pPr>
    </w:p>
    <w:p w14:paraId="5B1DB85F" w14:textId="77777777" w:rsidR="00EE2F67" w:rsidRPr="00EE2F67" w:rsidRDefault="00EE2F67" w:rsidP="00EE2F67">
      <w:pPr>
        <w:rPr>
          <w:rFonts w:asciiTheme="majorHAnsi" w:hAnsiTheme="majorHAnsi" w:cstheme="majorHAnsi"/>
          <w:b/>
        </w:rPr>
      </w:pPr>
      <w:r w:rsidRPr="00EE2F67">
        <w:rPr>
          <w:rFonts w:asciiTheme="majorHAnsi" w:hAnsiTheme="majorHAnsi" w:cstheme="majorHAnsi"/>
          <w:b/>
        </w:rPr>
        <w:t>What were the major updates?</w:t>
      </w:r>
    </w:p>
    <w:p w14:paraId="1E36F7A5" w14:textId="77777777" w:rsidR="00EE2F67" w:rsidRPr="00EE2F67" w:rsidRDefault="00EE2F67" w:rsidP="00EE2F67">
      <w:pPr>
        <w:pStyle w:val="ListParagraph"/>
        <w:numPr>
          <w:ilvl w:val="0"/>
          <w:numId w:val="2"/>
        </w:numPr>
        <w:rPr>
          <w:rFonts w:asciiTheme="majorHAnsi" w:hAnsiTheme="majorHAnsi" w:cstheme="majorHAnsi"/>
        </w:rPr>
      </w:pPr>
      <w:r w:rsidRPr="00EE2F67">
        <w:rPr>
          <w:rFonts w:asciiTheme="majorHAnsi" w:hAnsiTheme="majorHAnsi" w:cstheme="majorHAnsi"/>
        </w:rPr>
        <w:t xml:space="preserve">Inclusion of more terms and division into categories: </w:t>
      </w:r>
    </w:p>
    <w:p w14:paraId="3DC73455" w14:textId="77777777" w:rsidR="00EE2F67" w:rsidRPr="00EE2F67" w:rsidRDefault="00EE2F67" w:rsidP="00EE2F67">
      <w:pPr>
        <w:pStyle w:val="ListParagraph"/>
        <w:numPr>
          <w:ilvl w:val="1"/>
          <w:numId w:val="2"/>
        </w:numPr>
        <w:rPr>
          <w:rFonts w:asciiTheme="majorHAnsi" w:hAnsiTheme="majorHAnsi" w:cstheme="majorHAnsi"/>
        </w:rPr>
      </w:pPr>
      <w:r w:rsidRPr="00EE2F67">
        <w:rPr>
          <w:rFonts w:asciiTheme="majorHAnsi" w:hAnsiTheme="majorHAnsi" w:cstheme="majorHAnsi"/>
        </w:rPr>
        <w:t>Clinical Education Infrastructure</w:t>
      </w:r>
    </w:p>
    <w:p w14:paraId="1E2F6DFC" w14:textId="77777777" w:rsidR="00EE2F67" w:rsidRPr="00EE2F67" w:rsidRDefault="00EE2F67" w:rsidP="00EE2F67">
      <w:pPr>
        <w:pStyle w:val="ListParagraph"/>
        <w:numPr>
          <w:ilvl w:val="1"/>
          <w:numId w:val="2"/>
        </w:numPr>
        <w:rPr>
          <w:rFonts w:asciiTheme="majorHAnsi" w:hAnsiTheme="majorHAnsi" w:cstheme="majorHAnsi"/>
        </w:rPr>
      </w:pPr>
      <w:r w:rsidRPr="00EE2F67">
        <w:rPr>
          <w:rFonts w:asciiTheme="majorHAnsi" w:hAnsiTheme="majorHAnsi" w:cstheme="majorHAnsi"/>
        </w:rPr>
        <w:t xml:space="preserve">Clinical Education Sites </w:t>
      </w:r>
    </w:p>
    <w:p w14:paraId="1C9B0C81" w14:textId="77777777" w:rsidR="00EE2F67" w:rsidRPr="00EE2F67" w:rsidRDefault="00EE2F67" w:rsidP="00EE2F67">
      <w:pPr>
        <w:pStyle w:val="ListParagraph"/>
        <w:numPr>
          <w:ilvl w:val="1"/>
          <w:numId w:val="2"/>
        </w:numPr>
        <w:rPr>
          <w:rFonts w:asciiTheme="majorHAnsi" w:hAnsiTheme="majorHAnsi" w:cstheme="majorHAnsi"/>
        </w:rPr>
      </w:pPr>
      <w:r w:rsidRPr="00EE2F67">
        <w:rPr>
          <w:rFonts w:asciiTheme="majorHAnsi" w:hAnsiTheme="majorHAnsi" w:cstheme="majorHAnsi"/>
        </w:rPr>
        <w:t>Clinical Education Stakeholders</w:t>
      </w:r>
    </w:p>
    <w:p w14:paraId="033B6DEF" w14:textId="77777777" w:rsidR="00EE2F67" w:rsidRPr="00EE2F67" w:rsidRDefault="00EE2F67" w:rsidP="00EE2F67">
      <w:pPr>
        <w:pStyle w:val="ListParagraph"/>
        <w:numPr>
          <w:ilvl w:val="1"/>
          <w:numId w:val="2"/>
        </w:numPr>
        <w:rPr>
          <w:rFonts w:asciiTheme="majorHAnsi" w:hAnsiTheme="majorHAnsi" w:cstheme="majorHAnsi"/>
        </w:rPr>
      </w:pPr>
      <w:r w:rsidRPr="00EE2F67">
        <w:rPr>
          <w:rFonts w:asciiTheme="majorHAnsi" w:hAnsiTheme="majorHAnsi" w:cstheme="majorHAnsi"/>
        </w:rPr>
        <w:t>Clinical Education Assessment</w:t>
      </w:r>
    </w:p>
    <w:p w14:paraId="19F51EBA" w14:textId="77777777" w:rsidR="00EE2F67" w:rsidRPr="00EE2F67" w:rsidRDefault="00EE2F67" w:rsidP="00EE2F67">
      <w:pPr>
        <w:pStyle w:val="ListParagraph"/>
        <w:numPr>
          <w:ilvl w:val="0"/>
          <w:numId w:val="2"/>
        </w:numPr>
        <w:rPr>
          <w:rFonts w:asciiTheme="majorHAnsi" w:hAnsiTheme="majorHAnsi" w:cstheme="majorHAnsi"/>
        </w:rPr>
      </w:pPr>
      <w:r w:rsidRPr="00EE2F67">
        <w:rPr>
          <w:rFonts w:asciiTheme="majorHAnsi" w:hAnsiTheme="majorHAnsi" w:cstheme="majorHAnsi"/>
        </w:rPr>
        <w:t>Differentiation of didactic curriculum from clinical education experience</w:t>
      </w:r>
    </w:p>
    <w:p w14:paraId="6BA88230" w14:textId="77777777" w:rsidR="00EE2F67" w:rsidRPr="00EE2F67" w:rsidRDefault="00EE2F67" w:rsidP="00EE2F67">
      <w:pPr>
        <w:pStyle w:val="ListParagraph"/>
        <w:numPr>
          <w:ilvl w:val="0"/>
          <w:numId w:val="2"/>
        </w:numPr>
        <w:rPr>
          <w:rFonts w:asciiTheme="majorHAnsi" w:hAnsiTheme="majorHAnsi" w:cstheme="majorHAnsi"/>
        </w:rPr>
      </w:pPr>
      <w:r w:rsidRPr="00EE2F67">
        <w:rPr>
          <w:rFonts w:asciiTheme="majorHAnsi" w:hAnsiTheme="majorHAnsi" w:cstheme="majorHAnsi"/>
        </w:rPr>
        <w:t>Delineation between first, intermediate, and terminal clinical education experiences</w:t>
      </w:r>
    </w:p>
    <w:p w14:paraId="3A975A42" w14:textId="77777777" w:rsidR="00EE2F67" w:rsidRPr="00EE2F67" w:rsidRDefault="00EE2F67" w:rsidP="00EE2F67">
      <w:pPr>
        <w:pStyle w:val="ListParagraph"/>
        <w:numPr>
          <w:ilvl w:val="0"/>
          <w:numId w:val="2"/>
        </w:numPr>
        <w:rPr>
          <w:rFonts w:asciiTheme="majorHAnsi" w:hAnsiTheme="majorHAnsi" w:cstheme="majorHAnsi"/>
        </w:rPr>
      </w:pPr>
      <w:r w:rsidRPr="00EE2F67">
        <w:rPr>
          <w:rFonts w:asciiTheme="majorHAnsi" w:hAnsiTheme="majorHAnsi" w:cstheme="majorHAnsi"/>
        </w:rPr>
        <w:t>Distinguishing post-professional education learning experiences, such as residencies and fellowships, from internships</w:t>
      </w:r>
    </w:p>
    <w:p w14:paraId="5B6E6254" w14:textId="77777777" w:rsidR="00EE2F67" w:rsidRPr="00EE2F67" w:rsidRDefault="00EE2F67" w:rsidP="00EE2F67">
      <w:pPr>
        <w:rPr>
          <w:rFonts w:asciiTheme="majorHAnsi" w:hAnsiTheme="majorHAnsi" w:cstheme="majorHAnsi"/>
          <w:b/>
        </w:rPr>
      </w:pPr>
      <w:r w:rsidRPr="00EE2F67">
        <w:rPr>
          <w:rFonts w:asciiTheme="majorHAnsi" w:hAnsiTheme="majorHAnsi" w:cstheme="majorHAnsi"/>
          <w:b/>
        </w:rPr>
        <w:t xml:space="preserve">Where can I find more information and resources on clinical education? </w:t>
      </w:r>
    </w:p>
    <w:p w14:paraId="34BF0DE1" w14:textId="77777777" w:rsidR="00EE2F67" w:rsidRPr="00EE2F67" w:rsidRDefault="00EE2F67" w:rsidP="00EE2F67">
      <w:pPr>
        <w:rPr>
          <w:rFonts w:asciiTheme="majorHAnsi" w:hAnsiTheme="majorHAnsi" w:cstheme="majorHAnsi"/>
        </w:rPr>
      </w:pPr>
      <w:r w:rsidRPr="00EE2F67">
        <w:rPr>
          <w:rFonts w:asciiTheme="majorHAnsi" w:hAnsiTheme="majorHAnsi" w:cstheme="majorHAnsi"/>
        </w:rPr>
        <w:t xml:space="preserve">You can find more information at </w:t>
      </w:r>
      <w:hyperlink r:id="rId7" w:history="1">
        <w:r w:rsidRPr="00EE2F67">
          <w:rPr>
            <w:rStyle w:val="Hyperlink"/>
            <w:rFonts w:asciiTheme="majorHAnsi" w:hAnsiTheme="majorHAnsi" w:cstheme="majorHAnsi"/>
          </w:rPr>
          <w:t>http://www.acapt.org/resources</w:t>
        </w:r>
      </w:hyperlink>
      <w:r w:rsidRPr="00EE2F67">
        <w:rPr>
          <w:rFonts w:asciiTheme="majorHAnsi" w:hAnsiTheme="majorHAnsi" w:cstheme="majorHAnsi"/>
        </w:rPr>
        <w:t xml:space="preserve"> under the Clinical Resources tab, and at the links below if you’re a current member of the APTA.</w:t>
      </w:r>
    </w:p>
    <w:p w14:paraId="208430A8" w14:textId="77777777" w:rsidR="00EE2F67" w:rsidRPr="00EE2F67" w:rsidRDefault="00550F23" w:rsidP="00EE2F67">
      <w:pPr>
        <w:pStyle w:val="ListParagraph"/>
        <w:numPr>
          <w:ilvl w:val="0"/>
          <w:numId w:val="1"/>
        </w:numPr>
        <w:rPr>
          <w:rFonts w:asciiTheme="majorHAnsi" w:hAnsiTheme="majorHAnsi" w:cstheme="majorHAnsi"/>
        </w:rPr>
      </w:pPr>
      <w:hyperlink r:id="rId8" w:history="1">
        <w:r w:rsidR="00EE2F67" w:rsidRPr="00EE2F67">
          <w:rPr>
            <w:rStyle w:val="Hyperlink"/>
            <w:rFonts w:asciiTheme="majorHAnsi" w:hAnsiTheme="majorHAnsi" w:cstheme="majorHAnsi"/>
          </w:rPr>
          <w:t>http://www.apta.org/ACAPT/Gl</w:t>
        </w:r>
        <w:bookmarkStart w:id="0" w:name="_GoBack"/>
        <w:bookmarkEnd w:id="0"/>
        <w:r w:rsidR="00EE2F67" w:rsidRPr="00EE2F67">
          <w:rPr>
            <w:rStyle w:val="Hyperlink"/>
            <w:rFonts w:asciiTheme="majorHAnsi" w:hAnsiTheme="majorHAnsi" w:cstheme="majorHAnsi"/>
          </w:rPr>
          <w:t>ossary/</w:t>
        </w:r>
      </w:hyperlink>
    </w:p>
    <w:p w14:paraId="0A4B4E30" w14:textId="77777777" w:rsidR="00EE2F67" w:rsidRPr="00EE2F67" w:rsidRDefault="00550F23" w:rsidP="00EE2F67">
      <w:pPr>
        <w:pStyle w:val="ListParagraph"/>
        <w:numPr>
          <w:ilvl w:val="0"/>
          <w:numId w:val="1"/>
        </w:numPr>
        <w:rPr>
          <w:rFonts w:asciiTheme="majorHAnsi" w:hAnsiTheme="majorHAnsi" w:cstheme="majorHAnsi"/>
        </w:rPr>
      </w:pPr>
      <w:hyperlink r:id="rId9" w:history="1">
        <w:r w:rsidR="00EE2F67" w:rsidRPr="00EE2F67">
          <w:rPr>
            <w:rStyle w:val="Hyperlink"/>
            <w:rFonts w:asciiTheme="majorHAnsi" w:hAnsiTheme="majorHAnsi" w:cstheme="majorHAnsi"/>
          </w:rPr>
          <w:t>http://www.apta.org/PTClinicalEducationPrinciples/</w:t>
        </w:r>
      </w:hyperlink>
      <w:r w:rsidR="00EE2F67" w:rsidRPr="00EE2F67">
        <w:rPr>
          <w:rFonts w:asciiTheme="majorHAnsi" w:hAnsiTheme="majorHAnsi" w:cstheme="majorHAnsi"/>
        </w:rPr>
        <w:t xml:space="preserve"> </w:t>
      </w:r>
    </w:p>
    <w:p w14:paraId="060340E9" w14:textId="77777777" w:rsidR="00EE2F67" w:rsidRPr="00EE2F67" w:rsidRDefault="00550F23" w:rsidP="00EE2F67">
      <w:pPr>
        <w:pStyle w:val="ListParagraph"/>
        <w:numPr>
          <w:ilvl w:val="0"/>
          <w:numId w:val="1"/>
        </w:numPr>
        <w:rPr>
          <w:rFonts w:asciiTheme="majorHAnsi" w:hAnsiTheme="majorHAnsi" w:cstheme="majorHAnsi"/>
        </w:rPr>
      </w:pPr>
      <w:hyperlink r:id="rId10" w:history="1">
        <w:r w:rsidR="00EE2F67" w:rsidRPr="00EE2F67">
          <w:rPr>
            <w:rStyle w:val="Hyperlink"/>
            <w:rFonts w:asciiTheme="majorHAnsi" w:hAnsiTheme="majorHAnsi" w:cstheme="majorHAnsi"/>
          </w:rPr>
          <w:t>http://www.apta.org/Educators/Clinical/StudentRegulations/</w:t>
        </w:r>
      </w:hyperlink>
      <w:r w:rsidR="00EE2F67" w:rsidRPr="00EE2F67">
        <w:rPr>
          <w:rFonts w:asciiTheme="majorHAnsi" w:hAnsiTheme="majorHAnsi" w:cstheme="majorHAnsi"/>
        </w:rPr>
        <w:t xml:space="preserve"> </w:t>
      </w:r>
    </w:p>
    <w:p w14:paraId="45DDEA55" w14:textId="77777777" w:rsidR="00EE2F67" w:rsidRPr="00EE2F67" w:rsidRDefault="00550F23" w:rsidP="00EE2F67">
      <w:pPr>
        <w:pStyle w:val="ListParagraph"/>
        <w:numPr>
          <w:ilvl w:val="0"/>
          <w:numId w:val="1"/>
        </w:numPr>
        <w:rPr>
          <w:rFonts w:asciiTheme="majorHAnsi" w:hAnsiTheme="majorHAnsi" w:cstheme="majorHAnsi"/>
        </w:rPr>
      </w:pPr>
      <w:hyperlink r:id="rId11" w:history="1">
        <w:r w:rsidR="00EE2F67" w:rsidRPr="00EE2F67">
          <w:rPr>
            <w:rStyle w:val="Hyperlink"/>
            <w:rFonts w:asciiTheme="majorHAnsi" w:hAnsiTheme="majorHAnsi" w:cstheme="majorHAnsi"/>
          </w:rPr>
          <w:t>http://www.apta.org/ACAPT/BaselineExpectations/</w:t>
        </w:r>
      </w:hyperlink>
      <w:r w:rsidR="00EE2F67" w:rsidRPr="00EE2F67">
        <w:rPr>
          <w:rFonts w:asciiTheme="majorHAnsi" w:hAnsiTheme="majorHAnsi" w:cstheme="majorHAnsi"/>
        </w:rPr>
        <w:t xml:space="preserve"> </w:t>
      </w:r>
    </w:p>
    <w:p w14:paraId="6D73A7DA" w14:textId="77777777" w:rsidR="00EE2F67" w:rsidRPr="00EE2F67" w:rsidRDefault="00550F23" w:rsidP="00EE2F67">
      <w:pPr>
        <w:pStyle w:val="ListParagraph"/>
        <w:numPr>
          <w:ilvl w:val="0"/>
          <w:numId w:val="1"/>
        </w:numPr>
        <w:rPr>
          <w:rFonts w:asciiTheme="majorHAnsi" w:hAnsiTheme="majorHAnsi" w:cstheme="majorHAnsi"/>
        </w:rPr>
      </w:pPr>
      <w:hyperlink r:id="rId12" w:history="1">
        <w:r w:rsidR="00EE2F67" w:rsidRPr="00EE2F67">
          <w:rPr>
            <w:rStyle w:val="Hyperlink"/>
            <w:rFonts w:asciiTheme="majorHAnsi" w:hAnsiTheme="majorHAnsi" w:cstheme="majorHAnsi"/>
          </w:rPr>
          <w:t>http://www.apta.org/ACAPT/StudentReadiness/</w:t>
        </w:r>
      </w:hyperlink>
    </w:p>
    <w:p w14:paraId="08FB4265" w14:textId="77777777" w:rsidR="002130BD" w:rsidRPr="00EE2F67" w:rsidRDefault="002130BD">
      <w:pPr>
        <w:rPr>
          <w:rFonts w:asciiTheme="majorHAnsi" w:hAnsiTheme="majorHAnsi" w:cstheme="majorHAnsi"/>
        </w:rPr>
      </w:pPr>
    </w:p>
    <w:p w14:paraId="2A2EDB42" w14:textId="77777777" w:rsidR="002130BD" w:rsidRPr="00EE2F67" w:rsidRDefault="002130BD">
      <w:pPr>
        <w:rPr>
          <w:rFonts w:asciiTheme="majorHAnsi" w:hAnsiTheme="majorHAnsi" w:cstheme="majorHAnsi"/>
        </w:rPr>
      </w:pPr>
      <w:r w:rsidRPr="00EE2F67">
        <w:rPr>
          <w:rFonts w:asciiTheme="majorHAnsi" w:hAnsiTheme="majorHAnsi" w:cstheme="majorHAnsi"/>
        </w:rPr>
        <w:fldChar w:fldCharType="begin"/>
      </w:r>
      <w:r w:rsidRPr="00EE2F67">
        <w:rPr>
          <w:rFonts w:asciiTheme="majorHAnsi" w:hAnsiTheme="majorHAnsi" w:cstheme="majorHAnsi"/>
        </w:rPr>
        <w:instrText xml:space="preserve"> DATE \@ "MMMM d, yyyy" </w:instrText>
      </w:r>
      <w:r w:rsidRPr="00EE2F67">
        <w:rPr>
          <w:rFonts w:asciiTheme="majorHAnsi" w:hAnsiTheme="majorHAnsi" w:cstheme="majorHAnsi"/>
        </w:rPr>
        <w:fldChar w:fldCharType="separate"/>
      </w:r>
      <w:r w:rsidR="00550F23">
        <w:rPr>
          <w:rFonts w:asciiTheme="majorHAnsi" w:hAnsiTheme="majorHAnsi" w:cstheme="majorHAnsi"/>
          <w:noProof/>
        </w:rPr>
        <w:t>January 9, 2019</w:t>
      </w:r>
      <w:r w:rsidRPr="00EE2F67">
        <w:rPr>
          <w:rFonts w:asciiTheme="majorHAnsi" w:hAnsiTheme="majorHAnsi" w:cstheme="majorHAnsi"/>
        </w:rPr>
        <w:fldChar w:fldCharType="end"/>
      </w:r>
    </w:p>
    <w:sectPr w:rsidR="002130BD" w:rsidRPr="00EE2F67" w:rsidSect="00C415F9">
      <w:headerReference w:type="default" r:id="rId13"/>
      <w:footerReference w:type="defaul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E634D" w14:textId="77777777" w:rsidR="00C600C7" w:rsidRDefault="00C600C7" w:rsidP="00D63E88">
      <w:r>
        <w:separator/>
      </w:r>
    </w:p>
  </w:endnote>
  <w:endnote w:type="continuationSeparator" w:id="0">
    <w:p w14:paraId="1EC7D18C" w14:textId="77777777" w:rsidR="00C600C7" w:rsidRDefault="00C600C7" w:rsidP="00D63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3461E" w14:textId="77777777" w:rsidR="00A53836" w:rsidRDefault="00A53836">
    <w:pPr>
      <w:pStyle w:val="Footer"/>
    </w:pPr>
    <w:r w:rsidRPr="00A53836">
      <w:rPr>
        <w:noProof/>
      </w:rPr>
      <w:drawing>
        <wp:anchor distT="0" distB="0" distL="114300" distR="114300" simplePos="0" relativeHeight="251659264" behindDoc="1" locked="0" layoutInCell="1" allowOverlap="1" wp14:anchorId="6D7880D4" wp14:editId="42F335C8">
          <wp:simplePos x="0" y="0"/>
          <wp:positionH relativeFrom="margin">
            <wp:posOffset>4585749</wp:posOffset>
          </wp:positionH>
          <wp:positionV relativeFrom="bottomMargin">
            <wp:align>top</wp:align>
          </wp:positionV>
          <wp:extent cx="1503045" cy="675640"/>
          <wp:effectExtent l="0" t="0" r="1905" b="0"/>
          <wp:wrapNone/>
          <wp:docPr id="3" name="Picture 3" descr="C:\Users\sandybrooks\Pictures\AP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ndybrooks\Pictures\APT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045" cy="67564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FF574" w14:textId="77777777" w:rsidR="00C600C7" w:rsidRDefault="00C600C7" w:rsidP="00D63E88">
      <w:r>
        <w:separator/>
      </w:r>
    </w:p>
  </w:footnote>
  <w:footnote w:type="continuationSeparator" w:id="0">
    <w:p w14:paraId="5E2A116A" w14:textId="77777777" w:rsidR="00C600C7" w:rsidRDefault="00C600C7" w:rsidP="00D63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6F263" w14:textId="77777777" w:rsidR="00D63E88" w:rsidRDefault="00A53836" w:rsidP="00F058EE">
    <w:pPr>
      <w:pStyle w:val="Header"/>
      <w:ind w:left="-1080"/>
    </w:pPr>
    <w:r w:rsidRPr="00F058EE">
      <w:rPr>
        <w:noProof/>
      </w:rPr>
      <w:drawing>
        <wp:anchor distT="0" distB="0" distL="114300" distR="114300" simplePos="0" relativeHeight="251658240" behindDoc="1" locked="0" layoutInCell="1" allowOverlap="1" wp14:anchorId="2F70FC3F" wp14:editId="1C89CC8A">
          <wp:simplePos x="0" y="0"/>
          <wp:positionH relativeFrom="margin">
            <wp:posOffset>-824893</wp:posOffset>
          </wp:positionH>
          <wp:positionV relativeFrom="margin">
            <wp:posOffset>-774976</wp:posOffset>
          </wp:positionV>
          <wp:extent cx="3895725" cy="768350"/>
          <wp:effectExtent l="0" t="0" r="9525" b="0"/>
          <wp:wrapNone/>
          <wp:docPr id="1" name="Picture 1" descr="N:\ACAPT\Logos, Signatures, Photos, Letterhead\LogoPack - Extended\JPG(large)\fullname-horizontal\color\(f)horizontal-full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CAPT\Logos, Signatures, Photos, Letterhead\LogoPack - Extended\JPG(large)\fullname-horizontal\color\(f)horizontal-full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5725" cy="768350"/>
                  </a:xfrm>
                  <a:prstGeom prst="rect">
                    <a:avLst/>
                  </a:prstGeom>
                  <a:noFill/>
                  <a:ln>
                    <a:noFill/>
                  </a:ln>
                </pic:spPr>
              </pic:pic>
            </a:graphicData>
          </a:graphic>
        </wp:anchor>
      </w:drawing>
    </w:r>
  </w:p>
  <w:p w14:paraId="34AD6D99" w14:textId="77777777" w:rsidR="00A53836" w:rsidRDefault="00A53836" w:rsidP="00A53836">
    <w:pPr>
      <w:pStyle w:val="Header"/>
      <w:tabs>
        <w:tab w:val="clear" w:pos="4320"/>
      </w:tabs>
      <w:rPr>
        <w:rFonts w:ascii="Arial Narrow" w:hAnsi="Arial Narrow"/>
        <w:color w:val="595959" w:themeColor="text1" w:themeTint="A6"/>
      </w:rPr>
    </w:pPr>
    <w:r>
      <w:rPr>
        <w:rFonts w:ascii="Arial Narrow" w:hAnsi="Arial Narrow"/>
        <w:color w:val="595959" w:themeColor="text1" w:themeTint="A6"/>
      </w:rPr>
      <w:t xml:space="preserve">        </w:t>
    </w:r>
  </w:p>
  <w:p w14:paraId="7C5251CF" w14:textId="77777777" w:rsidR="00A53836" w:rsidRDefault="00A53836" w:rsidP="00A53836">
    <w:pPr>
      <w:pStyle w:val="Header"/>
      <w:tabs>
        <w:tab w:val="clear" w:pos="4320"/>
      </w:tabs>
      <w:rPr>
        <w:rFonts w:ascii="Arial Narrow" w:hAnsi="Arial Narrow"/>
        <w:color w:val="595959" w:themeColor="text1" w:themeTint="A6"/>
      </w:rPr>
    </w:pPr>
  </w:p>
  <w:p w14:paraId="7D195A1F" w14:textId="77777777" w:rsidR="00F058EE" w:rsidRPr="00A53836" w:rsidRDefault="00A53836" w:rsidP="00A53836">
    <w:pPr>
      <w:pStyle w:val="Header"/>
      <w:tabs>
        <w:tab w:val="clear" w:pos="4320"/>
      </w:tabs>
      <w:rPr>
        <w:rFonts w:ascii="Arial Unicode MS" w:eastAsia="Arial Unicode MS" w:hAnsi="Arial Unicode MS" w:cs="Arial Unicode MS"/>
        <w:color w:val="404040" w:themeColor="text1" w:themeTint="BF"/>
        <w:sz w:val="16"/>
        <w:szCs w:val="16"/>
      </w:rPr>
    </w:pPr>
    <w:r>
      <w:rPr>
        <w:rFonts w:ascii="Arial Narrow" w:hAnsi="Arial Narrow"/>
        <w:color w:val="595959" w:themeColor="text1" w:themeTint="A6"/>
      </w:rPr>
      <w:t xml:space="preserve">    </w:t>
    </w:r>
    <w:r w:rsidR="00F058EE" w:rsidRPr="00A53836">
      <w:rPr>
        <w:rFonts w:ascii="Arial Unicode MS" w:eastAsia="Arial Unicode MS" w:hAnsi="Arial Unicode MS" w:cs="Arial Unicode MS"/>
        <w:color w:val="404040" w:themeColor="text1" w:themeTint="BF"/>
        <w:sz w:val="16"/>
        <w:szCs w:val="16"/>
      </w:rPr>
      <w:t>1055 North Fairfax Street, Suite 205, Alexandria, VA 22314</w:t>
    </w:r>
    <w:r w:rsidRPr="00A53836">
      <w:rPr>
        <w:rFonts w:ascii="Arial Unicode MS" w:eastAsia="Arial Unicode MS" w:hAnsi="Arial Unicode MS" w:cs="Arial Unicode MS"/>
        <w:color w:val="404040" w:themeColor="text1" w:themeTint="BF"/>
        <w:sz w:val="16"/>
        <w:szCs w:val="16"/>
      </w:rPr>
      <w:t xml:space="preserve"> </w:t>
    </w:r>
    <w:r w:rsidRPr="00A53836">
      <w:rPr>
        <w:rFonts w:ascii="Arial Unicode MS" w:eastAsia="Arial Unicode MS" w:hAnsi="Arial Unicode MS" w:cs="Arial Unicode MS"/>
        <w:color w:val="404040" w:themeColor="text1" w:themeTint="BF"/>
        <w:sz w:val="16"/>
        <w:szCs w:val="16"/>
      </w:rPr>
      <w:sym w:font="Wingdings" w:char="F073"/>
    </w:r>
    <w:r w:rsidRPr="00A53836">
      <w:rPr>
        <w:rFonts w:ascii="Arial Unicode MS" w:eastAsia="Arial Unicode MS" w:hAnsi="Arial Unicode MS" w:cs="Arial Unicode MS"/>
        <w:color w:val="404040" w:themeColor="text1" w:themeTint="BF"/>
        <w:sz w:val="16"/>
        <w:szCs w:val="16"/>
      </w:rPr>
      <w:t xml:space="preserve"> Phone 800/765-7848, x7124 </w:t>
    </w:r>
    <w:r w:rsidRPr="00A53836">
      <w:rPr>
        <w:rFonts w:ascii="Arial Unicode MS" w:eastAsia="Arial Unicode MS" w:hAnsi="Arial Unicode MS" w:cs="Arial Unicode MS"/>
        <w:color w:val="404040" w:themeColor="text1" w:themeTint="BF"/>
        <w:sz w:val="16"/>
        <w:szCs w:val="16"/>
      </w:rPr>
      <w:sym w:font="Wingdings" w:char="F073"/>
    </w:r>
    <w:r w:rsidRPr="00A53836">
      <w:rPr>
        <w:rFonts w:ascii="Arial Unicode MS" w:eastAsia="Arial Unicode MS" w:hAnsi="Arial Unicode MS" w:cs="Arial Unicode MS"/>
        <w:color w:val="404040" w:themeColor="text1" w:themeTint="BF"/>
        <w:sz w:val="16"/>
        <w:szCs w:val="16"/>
      </w:rPr>
      <w:t xml:space="preserve"> www.acapt.org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C23B54"/>
    <w:multiLevelType w:val="hybridMultilevel"/>
    <w:tmpl w:val="80C69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BE4F83"/>
    <w:multiLevelType w:val="hybridMultilevel"/>
    <w:tmpl w:val="0F940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88"/>
    <w:rsid w:val="002038CB"/>
    <w:rsid w:val="002130BD"/>
    <w:rsid w:val="00396020"/>
    <w:rsid w:val="00550F23"/>
    <w:rsid w:val="005A559D"/>
    <w:rsid w:val="0096479D"/>
    <w:rsid w:val="009B3873"/>
    <w:rsid w:val="00A53836"/>
    <w:rsid w:val="00C600C7"/>
    <w:rsid w:val="00D63E88"/>
    <w:rsid w:val="00EE2F67"/>
    <w:rsid w:val="00F05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0111E83E"/>
  <w14:defaultImageDpi w14:val="300"/>
  <w15:docId w15:val="{FB2D9ED0-6A5D-4BA3-9DBA-33D2F546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4F6A"/>
    <w:rPr>
      <w:rFonts w:ascii="Lucida Grande" w:hAnsi="Lucida Grande"/>
      <w:sz w:val="18"/>
      <w:szCs w:val="18"/>
    </w:rPr>
  </w:style>
  <w:style w:type="paragraph" w:styleId="Header">
    <w:name w:val="header"/>
    <w:basedOn w:val="Normal"/>
    <w:link w:val="HeaderChar"/>
    <w:uiPriority w:val="99"/>
    <w:unhideWhenUsed/>
    <w:rsid w:val="00D63E88"/>
    <w:pPr>
      <w:tabs>
        <w:tab w:val="center" w:pos="4320"/>
        <w:tab w:val="right" w:pos="8640"/>
      </w:tabs>
    </w:pPr>
  </w:style>
  <w:style w:type="character" w:customStyle="1" w:styleId="HeaderChar">
    <w:name w:val="Header Char"/>
    <w:basedOn w:val="DefaultParagraphFont"/>
    <w:link w:val="Header"/>
    <w:uiPriority w:val="99"/>
    <w:rsid w:val="00D63E88"/>
    <w:rPr>
      <w:sz w:val="24"/>
      <w:szCs w:val="24"/>
      <w:lang w:eastAsia="en-US"/>
    </w:rPr>
  </w:style>
  <w:style w:type="paragraph" w:styleId="Footer">
    <w:name w:val="footer"/>
    <w:basedOn w:val="Normal"/>
    <w:link w:val="FooterChar"/>
    <w:uiPriority w:val="99"/>
    <w:unhideWhenUsed/>
    <w:rsid w:val="00D63E88"/>
    <w:pPr>
      <w:tabs>
        <w:tab w:val="center" w:pos="4320"/>
        <w:tab w:val="right" w:pos="8640"/>
      </w:tabs>
    </w:pPr>
  </w:style>
  <w:style w:type="character" w:customStyle="1" w:styleId="FooterChar">
    <w:name w:val="Footer Char"/>
    <w:basedOn w:val="DefaultParagraphFont"/>
    <w:link w:val="Footer"/>
    <w:uiPriority w:val="99"/>
    <w:rsid w:val="00D63E88"/>
    <w:rPr>
      <w:sz w:val="24"/>
      <w:szCs w:val="24"/>
      <w:lang w:eastAsia="en-US"/>
    </w:rPr>
  </w:style>
  <w:style w:type="character" w:styleId="Hyperlink">
    <w:name w:val="Hyperlink"/>
    <w:basedOn w:val="DefaultParagraphFont"/>
    <w:uiPriority w:val="99"/>
    <w:unhideWhenUsed/>
    <w:rsid w:val="00EE2F67"/>
    <w:rPr>
      <w:color w:val="0000FF" w:themeColor="hyperlink"/>
      <w:u w:val="single"/>
    </w:rPr>
  </w:style>
  <w:style w:type="paragraph" w:styleId="ListParagraph">
    <w:name w:val="List Paragraph"/>
    <w:basedOn w:val="Normal"/>
    <w:uiPriority w:val="34"/>
    <w:qFormat/>
    <w:rsid w:val="00EE2F67"/>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550F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ta.org/ACAPT/Glossar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apt.org/resources" TargetMode="External"/><Relationship Id="rId12" Type="http://schemas.openxmlformats.org/officeDocument/2006/relationships/hyperlink" Target="http://www.apta.org/ACAPT/StudentReadines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ta.org/ACAPT/BaselineExpectation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pta.org/Educators/Clinical/StudentRegulations/" TargetMode="External"/><Relationship Id="rId4" Type="http://schemas.openxmlformats.org/officeDocument/2006/relationships/webSettings" Target="webSettings.xml"/><Relationship Id="rId9" Type="http://schemas.openxmlformats.org/officeDocument/2006/relationships/hyperlink" Target="http://www.apta.org/PTClinicalEducationPrincipl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APTA</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Willrich</dc:creator>
  <cp:keywords/>
  <dc:description/>
  <cp:lastModifiedBy>Jennifer Canbek</cp:lastModifiedBy>
  <cp:revision>2</cp:revision>
  <dcterms:created xsi:type="dcterms:W3CDTF">2019-01-09T21:11:00Z</dcterms:created>
  <dcterms:modified xsi:type="dcterms:W3CDTF">2019-01-09T21:11:00Z</dcterms:modified>
</cp:coreProperties>
</file>